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20906535" w14:textId="6A788166" w:rsidR="00D93BE1" w:rsidRDefault="00201E51" w:rsidP="00D93BE1">
      <w:pPr>
        <w:rPr>
          <w:color w:val="000000"/>
        </w:rPr>
      </w:pPr>
      <w:r>
        <w:rPr>
          <w:rFonts w:ascii="Open Sans" w:hAnsi="Open Sans" w:cs="Open Sans"/>
          <w:i/>
          <w:iCs/>
          <w:color w:val="000000"/>
          <w:sz w:val="21"/>
          <w:szCs w:val="21"/>
          <w:shd w:val="clear" w:color="auto" w:fill="FFFFFF"/>
        </w:rPr>
        <w:t>Voor wereldwijde publicatie, behalve Noord-Amerika en China: Augustus 2023</w:t>
      </w:r>
      <w:r>
        <w:rPr>
          <w:rFonts w:ascii="Open Sans" w:hAnsi="Open Sans" w:cs="Open Sans"/>
          <w:i/>
          <w:iCs/>
          <w:color w:val="000000"/>
          <w:sz w:val="21"/>
          <w:szCs w:val="21"/>
          <w:shd w:val="clear" w:color="auto" w:fill="FFFFFF"/>
        </w:rPr>
        <w:br/>
        <w:t>Publicatienummer: 243PR23</w:t>
      </w:r>
    </w:p>
    <w:p w14:paraId="5E877772" w14:textId="77777777" w:rsidR="00DE0527" w:rsidRDefault="00DE0527">
      <w:pPr>
        <w:rPr>
          <w:color w:val="000000"/>
        </w:rPr>
      </w:pPr>
    </w:p>
    <w:p w14:paraId="762028A5" w14:textId="77777777" w:rsidR="00201E51" w:rsidRPr="00201E51" w:rsidRDefault="00201E51" w:rsidP="00201E51">
      <w:pPr>
        <w:pStyle w:val="Heading1"/>
        <w:shd w:val="clear" w:color="auto" w:fill="FFFFFF"/>
        <w:rPr>
          <w:rFonts w:ascii="Roboto Condensed Bold" w:hAnsi="Roboto Condensed Bold"/>
          <w:color w:val="000000"/>
          <w:sz w:val="60"/>
          <w:szCs w:val="160"/>
        </w:rPr>
      </w:pPr>
      <w:r w:rsidRPr="00201E51">
        <w:rPr>
          <w:rFonts w:ascii="Roboto Condensed Bold" w:hAnsi="Roboto Condensed Bold"/>
          <w:color w:val="000000"/>
          <w:sz w:val="36"/>
          <w:szCs w:val="48"/>
        </w:rPr>
        <w:t>Door lagere brandstof- en onderhoudskosten behaalt de nieuwe Cat® 988 GC Wiellader de productiedoelen tegen lagere kosten per uur</w:t>
      </w:r>
    </w:p>
    <w:p w14:paraId="6DAD0E7E" w14:textId="77777777" w:rsidR="00DE0527" w:rsidRDefault="00DE0527"/>
    <w:p w14:paraId="2A45594E"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nieuwe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 Wiellader</w:t>
        </w:r>
      </w:hyperlink>
      <w:r>
        <w:rPr>
          <w:rFonts w:ascii="Open Sans" w:hAnsi="Open Sans" w:cs="Open Sans"/>
          <w:color w:val="000000"/>
          <w:sz w:val="21"/>
          <w:szCs w:val="21"/>
        </w:rPr>
        <w:t> levert betrouwbare en efficiënte prestaties, waardoor klanten meer materiaal kunnen verplaatsen tegen lagere kosten per uur voor een sneller investeringsrendement. De nieuwe wiellader verbruikt tot 5% minder brandstof en heeft tot 15% lagere onderhoudskosten dan de Cat 988K. Ontworpen voor een maximale opbrengst tijdens de levensduur in middelzware toepassingen tot 2.000 uur per jaar, waardoor de productiviteit van de 988 GC bij het beladen van trucks maximaal 6% van de 988K afwijkt.  </w:t>
      </w:r>
    </w:p>
    <w:p w14:paraId="417FCE64"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Bedienings- en onderhoudsgemak, want de nieuwe 988 GC is optimaal afgestemd om trucks van 45 ton (50 Am. ton) te beladen. Dankzij een storthoogte van 3909 mm (12.8 ft) kan de Cat 775G truck efficiënt worden beladen. Doordat het laadvermogen overeenkomt met de 988K, biedt de nieuwe 988 GC een productiviteit tot 670 ton/uur (740 Am.ton/uur) bij het beladen van rotstrucks en tot 527 ton/uur (581 Am.ton/uur) bij het laden en verplaatsen.</w:t>
      </w:r>
    </w:p>
    <w:p w14:paraId="5F1DAFFD"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uiterst duurzame constructies van de nieuwe wiellader zijn gebouwd voor meerdere levenscycli en bestand tegen de zwaarste beladingsomstandigheden. Staat op het gemeenschappelijke Cat Large Wheel Loader-platform, waardoor de kokerbalken van het achterchassis de torsiebelastingen en rotatiekrachten kunnen weerstaan. Het voorchassis is herzien om zwaardere belastingen aan te kunnen en heeft een nieuw ontworpen hefarm.</w:t>
      </w:r>
    </w:p>
    <w:p w14:paraId="10F558B3"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Betrouwbaar en efficiënt</w:t>
      </w:r>
    </w:p>
    <w:p w14:paraId="2F589210"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Betrouwbaarheid en efficiëntie, daar draait het om bij de nieuwe 988 GC met de beproefde Cat 15 motor, leverbaar in uitvoeringen conform Euro-IIIA /U.S. EPA Tier 3 of de Euro-V/U.S. EPA Tier 4 Final emissienormen. Het koelpakket van 988 GC biedt een betere warmte-afvoer met een vraaggestuurde ventilatorregeling en twee ventilatorsnelheden voor standaard en hoge omgevingstemperaturen.  </w:t>
      </w:r>
    </w:p>
    <w:p w14:paraId="73E82AC7"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Cat koppelomvormer met standaard overbruggingskoppeling (lock-up) vermindert verliezen, produceert minder warmte, verkort de rijtijden en versnelt de werkcycli bij het laden en verplaatsen. Cat olieschijfremmen voeren de warmte uitstekend af en leveren hoge prestaties, ze gaan langer mee en zijn gemakkelijker te herstellen.</w:t>
      </w:r>
    </w:p>
    <w:p w14:paraId="2CBE12A0"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De Cat Advanced Power Electronic Control Strategy (APECS) transmissie is specifiek ontworpen voor steengroeves en de mijnbouw en levert de allerhoogste prestaties door steeds soepel te schakelen, met een hogere productiviteit en efficiëntie, en een langere levensduur. Het voorwaartse momentum en koppel worden vastgehouden tijdens het schakelen voor meer klimvermogen op hellingen. Het neutraalpedaal van de transmissie verlengt de levensduur van de remmen en maakt dat het volle vermogen kan worden benut bij het stilstaand laden.</w:t>
      </w:r>
    </w:p>
    <w:p w14:paraId="12DD4132"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lastafhankelijke hydrauliek stuurt de hydraulische vloeistofstroom alleen indien nodig naar het uitrustingsstuk en stuursysteem, wat gunstig is voor de prestaties en efficiëntie van de nieuwe 988 GC. Pluspunt bij het laden en verplaatsen: de optionele rijregeling voegt een extra accumulator aan het hefcircuit toe om comfortabeler te rijden.</w:t>
      </w:r>
    </w:p>
    <w:p w14:paraId="4D1AD010"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Eenvoudige, comfortabele bediening</w:t>
      </w:r>
    </w:p>
    <w:p w14:paraId="18ACD8CC"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machine heeft een maximale responsiviteit dankzij de Steering and Integrated Control (STIC™) besturing, die tot 47% stiller werkt. De Cat Comfort Series III stoel met de daaraan gemonteerde bedieningsmodule, die met de stoel meebeweegt, verhoogt het comfort en vermindert de vermoeidheid van de machinist. De bediening wordt vereenvoudigd door een logisch bedieningspaneel, een aanraakscherm en gebruiksvriendelijke werktuigbedieningen, die zacht vastklikken. De machine geeft minder trillingen door aan de machinist dankzij de dempende cabinesteunen en een luchtgeveerde stoel, terwijl er een optionele luchtgekoelde en verwarmde stoel leverbaar is voor nog meer gebruikscomfort</w:t>
      </w:r>
    </w:p>
    <w:p w14:paraId="3A05BB90"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Eenvoudige geïntegreerde technologieën maken de 988 GC nog productiever en efficiënter. Product Link™ helpt de activiteiten op locatie te monitoren, managen en verbeteren door draadloos toegang te geven tot essentiële bedrijfsdata om waardevolle inzichten in de machineprestaties te krijgen. Standaard Cat Vision verbetert het zicht achter de machine, waardoor de machinist veilig en met vertrouwen kan werken. Om mens en machine veilig te houden, kan de 988 GC worden uitgerust met de Cat Detect technologie, die het bewustzijn van de omgeving rond het werkende materieel versterkt.</w:t>
      </w:r>
    </w:p>
    <w:p w14:paraId="08F958A9"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voorste hefarm met Z-stang biedt een uitstekend zicht op de bakranden en het werkgebied om de bediening te vereenvoudigen. Het laadvermogen komt overeen met de 988K modellen door een serie sterk presterende Cat laadbakken, leverbaar met inhouden van 6,3 tot 7,6 m</w:t>
      </w:r>
      <w:r>
        <w:rPr>
          <w:rFonts w:ascii="Open Sans" w:hAnsi="Open Sans" w:cs="Open Sans"/>
          <w:color w:val="000000"/>
          <w:sz w:val="16"/>
          <w:szCs w:val="16"/>
          <w:vertAlign w:val="superscript"/>
        </w:rPr>
        <w:t>3</w:t>
      </w:r>
      <w:r>
        <w:rPr>
          <w:rFonts w:ascii="Open Sans" w:hAnsi="Open Sans" w:cs="Open Sans"/>
          <w:color w:val="000000"/>
          <w:sz w:val="21"/>
          <w:szCs w:val="21"/>
        </w:rPr>
        <w:t> (8.3 tot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60CAFA99"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Het optionele Cat Payload weegt de verplaatste en geladen lading tijdens het werk* en levert zo real-time data om de productiviteit te verhogen en overbelading te verhinderen. Een optioneel abonnement op Advanced Productivity biedt uitgebreide bruikbare informatie om u te helpen de productiviteit en rentabiliteit van uw werkzaamheden te beheren en verbeteren.</w:t>
      </w:r>
    </w:p>
    <w:p w14:paraId="65FCAA0E"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Minder onderhoud</w:t>
      </w:r>
    </w:p>
    <w:p w14:paraId="2914B933"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De nieuwe wiellader heeft ontwerpkenmerken om de inzetbaarheid te verhogen en de onderhoudskosten ten opzichte van de 988K tot 15% te verlagen. Geavanceerde filtratie </w:t>
      </w:r>
      <w:r>
        <w:rPr>
          <w:rFonts w:ascii="Open Sans" w:hAnsi="Open Sans" w:cs="Open Sans"/>
          <w:color w:val="000000"/>
          <w:sz w:val="21"/>
          <w:szCs w:val="21"/>
        </w:rPr>
        <w:lastRenderedPageBreak/>
        <w:t>verhoogt de prestaties en betrouwbaarheid van het hydraulisch systeem. De gegroepeerde servicepunten zijn vanaf de grond of een platform toegankelijk, wat het werken aan de machine vergemakkelijkt. Luiken aan weerskanten van het motorruimte bieden gemakkelijk toegang voor de belangrijke dagelijkse onderhoudscontroles. Centrale smeerpunten en peilglazen op maaiveldhoogte vergemakkelijken de dagelijkse controles van het vet- en oliepeil in de hoofdsystemen van de machine.</w:t>
      </w:r>
    </w:p>
    <w:p w14:paraId="1B119267"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diagnosemeldingen aan boord wijzen de machinist op problemen met de machine, zodat ze kunnen worden verholpen voordat defecten optreden. De informatie die Product Link heeft verzameld, kan op afstand worden gemonitord via my.cat.com, de Cat app of VisionLink</w:t>
      </w:r>
      <w:r>
        <w:rPr>
          <w:rFonts w:ascii="Open Sans" w:hAnsi="Open Sans" w:cs="Open Sans"/>
          <w:color w:val="000000"/>
          <w:sz w:val="16"/>
          <w:szCs w:val="16"/>
          <w:vertAlign w:val="superscript"/>
        </w:rPr>
        <w:t>®</w:t>
      </w:r>
      <w:r>
        <w:rPr>
          <w:rFonts w:ascii="Open Sans" w:hAnsi="Open Sans" w:cs="Open Sans"/>
          <w:color w:val="000000"/>
          <w:sz w:val="21"/>
          <w:szCs w:val="21"/>
        </w:rPr>
        <w:t> om het preventieve onderhoud en de service-efficiëntie nog verder te verbeteren.</w:t>
      </w:r>
    </w:p>
    <w:p w14:paraId="0C2A27BA"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Voor meer informatie over de nieuwe Cat 988 GC Wiellader neemt u contact op met een Cat dealer of gaat u naar </w:t>
      </w:r>
      <w:hyperlink r:id="rId11" w:tgtFrame="_self" w:history="1">
        <w:r>
          <w:rPr>
            <w:rStyle w:val="Hyperlink"/>
            <w:rFonts w:ascii="Open Sans" w:hAnsi="Open Sans" w:cs="Open Sans"/>
            <w:color w:val="2679B8"/>
            <w:sz w:val="21"/>
            <w:szCs w:val="21"/>
          </w:rPr>
          <w:t>www.cat.com.</w:t>
        </w:r>
      </w:hyperlink>
    </w:p>
    <w:p w14:paraId="4842C7C9"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Niet voor handelsdoeleinden.</w:t>
      </w:r>
    </w:p>
    <w:p w14:paraId="44F75338"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5F406615" w14:textId="77777777" w:rsidR="00201E51" w:rsidRDefault="00201E51" w:rsidP="00201E51">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 PRODUCTSPECIFICATIES</w:t>
      </w:r>
    </w:p>
    <w:p w14:paraId="44990C32" w14:textId="77777777" w:rsidR="00201E51" w:rsidRDefault="00201E51" w:rsidP="00201E51">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207"/>
        <w:gridCol w:w="1843"/>
      </w:tblGrid>
      <w:tr w:rsidR="00201E51" w14:paraId="4186EB7F"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E75A877"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2CCAFF4"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201E51" w14:paraId="2CAE166A"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0054864"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Maximaal vermogen bij 1600 tpm – ISO 14396:2002, kW (pk)</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5B71BB1"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201E51" w14:paraId="14B4E465"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D9EB46E"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Statische kiplast met banddoorbuiging, kg (lbs)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C7CA439"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201E51" w14:paraId="14172FCB"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AAAA751"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Hoogte laadbakpen,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FE1CA34"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201E51" w14:paraId="05A58E43"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8913ECF"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Storthoogte (tandpunt),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72370A7"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201E51" w14:paraId="1B83380F"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B4F60C7"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Opbreekkracht,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6F409439"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201E51" w14:paraId="5A101416"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40A59EA"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Wielbasis - mm (ft/in)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C281DE7"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201E51" w14:paraId="122A0D99" w14:textId="77777777" w:rsidTr="00201E5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5DF82DC"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Bedrijfsgewicht, kg (lbs)</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AABF6DB"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7258587B"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Het opgegeven nettovermogen is het beschikbare vermogen bij het vliegwiel wanneer de motor is uitgerust met een  ventilator op minimumsnelheid, luchtinlaatsysteem, uitlaatsysteem en dynamo.</w:t>
      </w:r>
    </w:p>
    <w:p w14:paraId="424765D6"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 </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6CC9F5A2"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Opmerking voor redacties: </w:t>
      </w:r>
      <w:r>
        <w:rPr>
          <w:rFonts w:ascii="Open Sans" w:hAnsi="Open Sans" w:cs="Open Sans"/>
          <w:color w:val="000000"/>
          <w:sz w:val="21"/>
          <w:szCs w:val="21"/>
        </w:rPr>
        <w:t>Caterpillar brengt producten en diensten in zijn werkgebieden op verschillende tijdstippen op de markt. Ondanks dat alle moeite wordt gedaan om er zeker van te zijn dat de productinformatie pas wordt vrijgegeven nadat Caterpillar bevestigingen heeft ontvangen van zijn dealernetwerk, fabrieken en marketingdochterondernemingen dat de producten en diensten beschikbaar zijn in de betreffende regio, worden redacteuren vriendelijk verzocht om contact op te nemen met hun plaatselijke dealer over de beschikbaarheid en specificaties van een product.</w:t>
      </w:r>
    </w:p>
    <w:p w14:paraId="1AE13553" w14:textId="77777777" w:rsidR="00201E51" w:rsidRDefault="00201E51" w:rsidP="00201E51">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de bijbehorende logo's, VisionLink, "Caterpillar Corporate Yellow", de "Power Edge" en Cat "Modern Hex" trade dress en ook de bedrijfs- en productidentiteit die hier worden gebruikt, zijn handelsmerken van Caterpillar en mogen niet zonder toestemming worden gebruikt.</w:t>
      </w:r>
    </w:p>
    <w:p w14:paraId="4CC7732A" w14:textId="77777777" w:rsidR="00201E51" w:rsidRDefault="00201E51" w:rsidP="00201E51">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Alle rechten voorbehouden</w:t>
      </w:r>
    </w:p>
    <w:p w14:paraId="1A99ED13" w14:textId="77777777" w:rsidR="00201E51" w:rsidRDefault="00201E51" w:rsidP="00201E5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561"/>
        <w:gridCol w:w="12789"/>
      </w:tblGrid>
      <w:tr w:rsidR="00201E51" w14:paraId="60760384" w14:textId="77777777" w:rsidTr="00201E51">
        <w:tc>
          <w:tcPr>
            <w:tcW w:w="1890" w:type="dxa"/>
            <w:shd w:val="clear" w:color="auto" w:fill="FFFFFF"/>
            <w:tcMar>
              <w:top w:w="180" w:type="dxa"/>
              <w:left w:w="180" w:type="dxa"/>
              <w:bottom w:w="180" w:type="dxa"/>
              <w:right w:w="180" w:type="dxa"/>
            </w:tcMar>
            <w:hideMark/>
          </w:tcPr>
          <w:p w14:paraId="1E28AB13"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Nadere persinformatie</w:t>
            </w:r>
          </w:p>
        </w:tc>
        <w:tc>
          <w:tcPr>
            <w:tcW w:w="6960" w:type="dxa"/>
            <w:shd w:val="clear" w:color="auto" w:fill="FFFFFF"/>
            <w:tcMar>
              <w:top w:w="180" w:type="dxa"/>
              <w:left w:w="180" w:type="dxa"/>
              <w:bottom w:w="180" w:type="dxa"/>
              <w:right w:w="180" w:type="dxa"/>
            </w:tcMar>
            <w:hideMark/>
          </w:tcPr>
          <w:p w14:paraId="1937C216"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Caterpillar Trade Press Media Representatives</w:t>
            </w:r>
          </w:p>
          <w:p w14:paraId="0B1D72BA"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Noord-/Zuid-Amerika</w:t>
            </w:r>
          </w:p>
          <w:p w14:paraId="03C70DE9"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066D49F0"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29BA28B2"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Afrika, Midden-Oosten</w:t>
            </w:r>
          </w:p>
          <w:p w14:paraId="65B80A74" w14:textId="77777777" w:rsidR="00201E51" w:rsidRDefault="00201E5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6A898EFC" w14:textId="77777777" w:rsidR="00DE0527" w:rsidRDefault="00DE0527" w:rsidP="00201E51">
      <w:pPr>
        <w:tabs>
          <w:tab w:val="left" w:pos="0"/>
          <w:tab w:val="left" w:pos="720"/>
          <w:tab w:val="left" w:pos="1440"/>
          <w:tab w:val="left" w:pos="2160"/>
          <w:tab w:val="left" w:pos="2880"/>
          <w:tab w:val="left" w:pos="3600"/>
          <w:tab w:val="left" w:pos="4320"/>
        </w:tabs>
        <w:autoSpaceDE w:val="0"/>
        <w:autoSpaceDN w:val="0"/>
        <w:adjustRightInd w:val="0"/>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CACB9" w14:textId="77777777" w:rsidR="00944D73" w:rsidRDefault="00944D73">
      <w:r>
        <w:separator/>
      </w:r>
    </w:p>
  </w:endnote>
  <w:endnote w:type="continuationSeparator" w:id="0">
    <w:p w14:paraId="6478D0D4" w14:textId="77777777" w:rsidR="00944D73" w:rsidRDefault="0094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B4F8" w14:textId="77777777" w:rsidR="00944D73" w:rsidRDefault="00944D73">
      <w:r>
        <w:separator/>
      </w:r>
    </w:p>
  </w:footnote>
  <w:footnote w:type="continuationSeparator" w:id="0">
    <w:p w14:paraId="4A285828" w14:textId="77777777" w:rsidR="00944D73" w:rsidRDefault="0094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01E51"/>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4D73"/>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201E51"/>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693543">
      <w:bodyDiv w:val="1"/>
      <w:marLeft w:val="0"/>
      <w:marRight w:val="0"/>
      <w:marTop w:val="0"/>
      <w:marBottom w:val="0"/>
      <w:divBdr>
        <w:top w:val="none" w:sz="0" w:space="0" w:color="auto"/>
        <w:left w:val="none" w:sz="0" w:space="0" w:color="auto"/>
        <w:bottom w:val="none" w:sz="0" w:space="0" w:color="auto"/>
        <w:right w:val="none" w:sz="0" w:space="0" w:color="auto"/>
      </w:divBdr>
      <w:divsChild>
        <w:div w:id="1825509118">
          <w:marLeft w:val="0"/>
          <w:marRight w:val="0"/>
          <w:marTop w:val="0"/>
          <w:marBottom w:val="0"/>
          <w:divBdr>
            <w:top w:val="none" w:sz="0" w:space="0" w:color="auto"/>
            <w:left w:val="none" w:sz="0" w:space="0" w:color="auto"/>
            <w:bottom w:val="none" w:sz="0" w:space="0" w:color="auto"/>
            <w:right w:val="none" w:sz="0" w:space="0" w:color="auto"/>
          </w:divBdr>
        </w:div>
        <w:div w:id="1601522852">
          <w:marLeft w:val="0"/>
          <w:marRight w:val="0"/>
          <w:marTop w:val="0"/>
          <w:marBottom w:val="0"/>
          <w:divBdr>
            <w:top w:val="none" w:sz="0" w:space="0" w:color="auto"/>
            <w:left w:val="none" w:sz="0" w:space="0" w:color="auto"/>
            <w:bottom w:val="none" w:sz="0" w:space="0" w:color="auto"/>
            <w:right w:val="none" w:sz="0" w:space="0" w:color="auto"/>
          </w:divBdr>
        </w:div>
      </w:divsChild>
    </w:div>
    <w:div w:id="1395202802">
      <w:bodyDiv w:val="1"/>
      <w:marLeft w:val="0"/>
      <w:marRight w:val="0"/>
      <w:marTop w:val="0"/>
      <w:marBottom w:val="0"/>
      <w:divBdr>
        <w:top w:val="none" w:sz="0" w:space="0" w:color="auto"/>
        <w:left w:val="none" w:sz="0" w:space="0" w:color="auto"/>
        <w:bottom w:val="none" w:sz="0" w:space="0" w:color="auto"/>
        <w:right w:val="none" w:sz="0" w:space="0" w:color="auto"/>
      </w:divBdr>
    </w:div>
    <w:div w:id="207238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nl_NL.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nl_NL/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3.xml><?xml version="1.0" encoding="utf-8"?>
<ds:datastoreItem xmlns:ds="http://schemas.openxmlformats.org/officeDocument/2006/customXml" ds:itemID="{FE1B9D08-B9DE-427D-8345-B80C57DAFB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2023-10-06T15:49:00Z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2023-10-06T15:49:28Z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8cd57418-b8e8-4ec3-81c5-004f7e0417cc</vt:lpwstr>
  </property>
  <property fmtid="{D5CDD505-2E9C-101B-9397-08002B2CF9AE}" pid="16" name="MSIP_Label_fb5e2db6-eecf-4aa2-8fc3-174bf94bce19_ContentBits">
    <vt:lpwstr>2</vt:lpwstr>
  </property>
</Properties>
</file>